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Завьяловой Т.В. по причине болезни кассационную жалобу следует передать другому судье. Руководствуясь статьями 18 , 184 Арбитражного процессуального кодекса Российской Федерации, председатель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Завьяловой Т.В. на судью Першутова А.Г. по кассационному производству № 309-ЭС21-25741. Председатель третьего судебного состава,судья Верховного Суда Российской Федерации ФИО1 Суд: Верховный Суд РФ (подробнее) Истцы: ООО ФЕНСИ ПЛЮС (подробнее) Ответчики: ГУ ГОСУДАРСТВЕННОЕ АВТОНОМНОЕ УЧРЕЖДЕНИЕ ЗДРАВООХРАНЕНИЯ СВЕРДЛОВСКОЙ ОБЛАСТИ СВЕРДЛОВСКИЙ ОБЛАСТНОЙ КЛИНИЧЕСКИЙ ПСИХОНЕВРОЛОГИЧЕСКИЙ ГОСПИТАЛЬ ДЛЯ ВЕТЕРАНОВ ВОЙН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