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25.02.2021, оставленным без изменения постановлением Тринадцатого арбитражного апелляционного суда от 21.05.2021, первоначальный иск удовлетворен, в удовлетворении встречного иска отказано. Арбитражный суд Северо-Западного кого округа постановлением от 16.09.2021 решение от 25.02.2021 и постановление апелляционного суда от 21.05.2021 оставил без изменения. В кассационной жалобе общество просит об отмене судебных актов, ссылаясь на отсутствие оценки действиям предпринимателя, с которыми порча груза находится в причинно-следственной связи.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предпринимателем исполнены условия перевозки, согласованные в договоре-заявке от 20.12.2019 № 2346, поэтому выявленная порча груза признана не состоящей в причинно-следственной связи с действиями в рамках перевозки предпринимателя, необходимой для взыскания убытков в силу статей 796, 15, 393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«Международные автоперевозки -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