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22.12.2020, оставленным без изменения постановлением Пятнадцатого арбитражного апелляционного суда от 08.04.2021, в удовлетворении иска отказано. Арбитражный суд Северо-Кавказского округа постановлением от 01.10.2021 решение от 22.12.2020 и постановление Пятнадцатого арбитражного апелляционного суда от 08.04.2021 оставил без изменения. В кассационной жалобе общество «Еврологистик» просит об отмене судебных актов, ссылаясь на неприменение статьи 1081 Гражданского кодекса Российской Федерации, являющейся правовым основанием иска.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решением по делу № А40-218084/2019 с общества «Еврологистик» взысканы убытки вследствие ненадлежащего исполнения договора от 24.03.2017 № 845-ждК, а не вследствие причинения вреда, в связи с чем у общества в отношении указанных убытков не возникло право регресса, предусмотренное статьей 1081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