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«Астра» (далее - общество) обратилось в Арбитражный суд Ростовской области с иском к обществу с ограниченной ответственностью «Вектор-2000» (далее - компания) о признании объектов уничтоженными, обязании снять с кадастрового учета, признании отсутствующим права собственности компании в отношении объектов недвижимого имущества с кадастровыми номерами 61:01:0170102:6409, 61:01:0170102:6406, 61:01:0170102:6415, 61:01:0170102:5524, 61:01:0170102:5293. Решением Арбитражного суда Ростовской области от 26.11.2020 исковые требования удовлетворены. Общество обратилось в арбитражный суд с заявлением о взыскании с компании 60 000 руб. судебных расходов, понесенных на оплату услуг представителя. Определением Арбитражного суда Ростовской области от 28.05.2021 с компании в пользу общества взыскано 60 000 руб. судебных расходов. 2 Постановлением Пятнадцатого арбитражного апелляционного суда от 29.07.2021 определение суда первой инстанции изменено, с компании в пользу общества взыскано 40 000 руб. судебных расходов. Постановлением Арбитражного суда Северо-Кавказского округа от 06.10.2021 постановление суда апелляционной инстанции оставлено без изменения. В кассационной жалобе, поданной в Верховный Суд Российской Федерации, компания, ссылаясь на незаконность указанных судебных актов, просит их отменить и направить дело на новое рассмотрение в Арбитражный суд Ростовской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установлено. Изменяя определение суда первой инстанции, суд апелляционной инстанции, руководствуясь статьями 106, 110, 112 Арбитражного процессуального кодекса Российской Федерации, разъяснениями, изложенными в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исследовав и оценив по правилам статьи 71 Арбитражного процессуального кодекса Российской Федерации представленные в материалы дела доказательства, подтверждающие факт несения обществом судебных расходов на оплату услуг представителя, посчитал разумными, обоснованными и подлежащими возмещению за счет компании расходы в сумме 40 000 руб. Суд округа поддержал выводы апелляционного суда. Доводы кассационной жалобы не опровергают приведенные выводы судов, направлены на переоценку обстоятельств, установленных судами при рассмотрении заявления о взыскании судебных расходов, не подтверждают существенных нарушений судами норм процессуального права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«Вектор-2000»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