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24.02.2021, оставленным без изменения постановлением Пятого арбитражного апелляционного суда от 26.05.2021, арбитражный управляющий привлечен к административной ответственности, предусмотренной частью 3 статьи 14.13 2 Кодекса Российской Федерации об административных правонарушениях, с назначением наказания в виде предупреждения. Арбитражный суд Дальневосточного округа постановлением от 27.09.2021 оставил без изменения решение суда первой инстанции и постановление суда апелляционной инстанции. Арбитражный управляющий просит обжалуемые судебные акты отменить, направить дело на новое рассмотрение в суд первой инстанции. По смыслу положений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а также защита охраняемых законом публичных интересов. При изучении доводов кассационной жалобы и принятых по делу судебных актов оснований для передачи жалобы в судебное заседание Судебной коллегии по экономическим спорам Верховного Суда Российской Федерации не установлено.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3 Оценив представленные доказательства, руководствуясь положениями статей 20.3, 131, 132 Федерального закона от 26.10.2002 № 127-ФЗ «О несостоятельности (банкротстве)», суды пришли к выводу о наличии в действиях арбитражного управляющего состава правонарушения, ответственность за которое предусмотрена частью 3 статьи 14.13 Кодекса Российской Федерации об административных правонарушениях. Суды пришли к выводу о наличии вины в действиях арбитражного управляющего, процедура и срок давности привлечения к административной ответственности соблюдены, протокол об административном правонарушении составлен в отсутствие арбитражного управляющего, надлежащим образом извещенного о дате, времени и месте составления протокола. При этом в жалобе не указано, какие конкретно документы, возражения и объяснения арбитражный управляющий был лишен возможности представить в административный орган, и как это могло повлиять на принятие судебных актов. Иные доводы жалобы были предметом исследования судов и отклонены исходя из установленных обстоятельств, свидетельствующих о наличии у арбитражного управляющего сведений о нахождении в составе имущества должника земельного участка, изъятого из оборота, о чем не был уведомлен собственник этого имущества. Вопреки доводам жалобы факт включения спорного земельного участка в конкурсную массу должника в качестве правонарушения арбитражному управляющему не вменялся. При указанных обстоятельствах приведенные в жалобе доводы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