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Жарков Артур Станиславович обратился в суд с заявлением о признании недействительными сделок по перечислению должником в период с 22.03.2017 по 27.04.2018 обществу денежных средств на общую сумму 4 651 488 рублей 98 копеек, применении последствий их недействительности. Определением Арбитражного суда Свердловской области от 01.12.2020, оставленным без изменения постановлениями Семнадцатого арбитражного апелляционного суда от 07.05.2021 и Арбитражного суда Уральского округа от 10.09.2021, заявление удовлетворено.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Арбитражный суд Свердловской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и удовлетворяя заявление, суды, руководствуясь пунктами 1 и 2 статьи 61.2 Федерального закона от 26.10.2002 № 127-ФЗ «О несостоятельности (банкротстве)», исходили из того, что оспариваемыми сделками, совершёнными в период подозрительности, неплатежёспособный должник безвозмездно передал заинтересованному с ним обществу своё имущество (денежные средства) с целью причинения имущественного вреда своим кредиторам посредством их вывода из конкурсной массы.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«Партнер»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