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Климентьев Андрей Анатольевич обратился в суд с заявлением о процессуальной замене кредитора – общества с ограниченной ответственностью «Сеченовская Нива» на себя. Во встречном заявлении, объединённым с заявлением Климентьева А.А. в одно производство для совместного рассмотрения, конкурсный управляющий должником просил суд исключить требование кредитора в размере 15 761 084 рубля 74 копейки из реестра требований кредиторов должника (далее – реестр). Определением Арбитражного суда Нижегородской области от 04.02.2021, оставленным без изменения постановлениями Первого арбитражного апелляционного суда от 17.05.2021 и Арбитражного суда Волго-Вятского округа от 22.09.2021, производство по заявлению конкурсного управляющего должником прекращено; требование Климентьева А.А. в размере 7 880 542 рубля 37 копеек включено в третью очередь реестра. В кассационной жалобе, поданной в Верховный Суд Российской Федерации, заявитель просит отменить названные судебные акты в части проведения процессуального правопреемства и включения требования Климентьева А.А. в сумме 7 880 542 рубля 37 копеек в состав третьей очереди реестра, направить дело на новое рассмотрение в Арбитражный суд Нижегородской области.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325, 1080 Гражданского кодекса Российской Федерации, пунктом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исходили из того, что полное погашение аффилированным должнику лицом требований независимого кредитора произведено после признания должника банкротом, что не позволяло рассматривать такое приобретение как способ компенсационного финансирования в ситуации имущественного кризиса и понизить его в очерёдности удовлетворения, в связи с чем произвели процессуальную замену кредитора его правопреемником и включили требование в реестр в размере причитающейся последнему доли в исполненном солидарном обязательстве.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«Агрофирма Ратова» Иванову Роману Теймуразовичу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