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повторного рассмотрения дела решением Арбитражного суда Воронежской области от 12.11.2020, оставленным без изменения постановлением Девятнадцатого арбитражного апелляционного суда от 11.05.2021, требования удовлетворены частично, признано недействительным решение инспекции от 31.05.2018 № 10-39/7 в части доначисления НДС в сумме 24 263 732 рублей, налога на прибыль организаций в сумме 9 256 043 рублей, пеней по НДС в сумме 10 481 181, 83 рублей, пеней по налогу на прибыль организаций в сумме 2 994 366 рублей, штрафа по налогу на прибыль организаций в сумме 2 816 331 рублей. В удовлетворении в остальной части заявленных требований отказано. Арбитражный суд Центрального округа постановлением от 15.09.2021 решение и постановление судов отменил в части удовлетворения требований общества и взыскания с инспекции в пользу 3 000 рублей расходов по уплате государственной пошлины. В указанной части в удовлетворении требований общества отказано. В остальной части судебные акты оставлены без изменения. В кассационной жалобе общество ставит вопрос об отмене принятых по делу судебных актов и направлении дела на новое рассмотрение в Арбитражный суд Воронежской области в связи с существенным нарушением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3 судебном заседании Судебной коллегии по экономическим спорам Верховного Суда Российской Федерации. Как установлено судами, по результатам выездной проверки обществу доначислены налог на прибыль, НДС, пени и штрафные санкции ввиду умышленного создания обществом и его контрагентами формального документооборота без осуществления реальных хозяйственных операций по приобретению лифтов и лифтового оборудования. Несогласие с выводами налогового органа послужило основанием для обращения общества в суд с заявленным требованием. При разрешении спора суды руководствовались положениями Налогового кодекса, Федерального закона от 06.12.2011 № 402-ФЗ «О бухгалтерском учете», при исследовании и оценке обстоятельств дела и представленных доказательств. Отказывая в удовлетворении заявленных требований, суды исходили из установленной совокупности обстоятельств, свидетельствующих о создании формального документооборота и фиктивности финансово-хозяйственных операций общества со спорными контрагентами, у которых отсутствовала реальная возможность исполнить договорные обязательства. Доводы, изложенные в кассационной жалобе, повторяют доводы, рассмотренные судами нижестоящих инстанций, не подтверждают наличие существенных нарушений норм материального права и (или) норм процессуального права, повлиявших на исход дела, фактически связаны с оценкой доказательств по делу, установленных судами и положенных в основу обжалуемых судебных актов, и не могут быть признаны основанием для их отмены в кассационном порядке.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«БелТрансЛифт»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