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23.04.2021, оставленным без изменения постановлением Седьмого арбитражного апелляционного суда от 12.07.2021 и постановлением Арбитражного суда Западно-Сибирского округа от 21.10.2021, иск удовлетворен.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Новосибирской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нарушения обществом (покупатель) срока оплаты товара, поставленного компанией (поставщик) по договору поставки от 02.11.2015 № 119/2015, суды первой и апелляционной инстанций признали правомерным начисление истцом договорной неустойки. Проверив расчет неустойки и произведенный ответчиком контррасчет, суды отклонили последний, признав верным расчет, представленный истцом. Не усмотрев оснований для снижения размера неустойки по правилам статьи 333 Гражданского кодекса Российской Федерации, руководствуясь статьями 329, 330 Гражданского кодекса Российской Федерации, разъяснениями, изложенными в постановлении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суды пришли к выводу о наличии оснований для удовлетворения иска, с чем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«Форт Нокс»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