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Ивановской области от 09.02.2021, оставленным без изменения постановлением Второго арбитражного апелляционного суда от 11.06.2021, взыскано 350 000 рублей неосновательного обогащения. Арбитражный суд Волго-Вятского округа постановлением от 07.09.2021 решение 09.02.2021 и постановление Второго арбитражного апелляционного суда от 11.06.2021 оставил без изменения. В кассационной жалобе предприниматель просит об отмене судебных актов, ссылаясь на неправильную оценку представленных доказательств оказания услуг.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Судебные акты соответствуют установленным обстоятельствам исполнения сторонами договора от 12.12.2018 № 12/12-18 и статьям 779, 781 Гражданского кодекса Российской Федерации. Требуемое предпринимателем изменение оценки доказательств исполнения обязательства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Трушиной 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