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09.03.2021, оставленным без изменения постановлением Десятого арбитражного апелляционного суда от 24.05.2021 и постановлением Арбитражного суда Московского округа от 09.09.2021, с общества в пользу компании взыскано 294 595 руб. 99 коп. неустойки и 2 045 509 руб. 49 коп. штрафа,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незаконность указанных судебных актов, просит их отменить и направить дело на новое рассмотрение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компания (генподрядчик) обратилась в арбитражный суд с иском по настоящему делу, ссылаясь на выполнение обществом (субподрядчик) работ по договору от 28.08.2018 № Ф.2018.415200/1/С (далее – договор) с нарушением срока и ненадлежащего качества, что в силу условий договора является основанием для начисления неустойки и штрафа.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нарушения обществом договорных обязательств, суды первой и апелляционной инстанций признали правомерным начисление компанией неустойки и штрафа. С учетом буквального толкования условий договора по правилам статьи 431 Гражданского кодекса Российской Федерации, руководствуясь статьями 309, 310, 314, 329, 330, 702, 703, 708, 709, 711, 720, 746, 753 Гражданского кодекса Российской Федерации, суды пришли к выводу о наличии оснований для частичного удовлетворения исковых требований. Суд округа поддержал выводы судов первой и апелляционной инстанций. Доводы кассационной жалобы не опровергают выводы судов и не подтверждают существенных нарушений судами норм материального и процессуального права, повлиявших на исход дела.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«Виктория»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