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08.04.2021 требование в размере 5 400 000 рублей процентов включено в третью очередь реестра, требование в размере 4 621 500 рублей неустойки за несвоевременный возврат процентов и 18 300 000 рублей неустойки за несвоевременный возврат основного долга – в третью очередь отдельно с удовлетворением после погашения основной задолженности и причитающихся процентов. Девятый арбитражный апелляционный суд постановлением от 18.06.2021 и Арбитражный суд Московского округа постановлением от 07.09.2021 оставили определение от 08.02.2021 без изменения. В кассационной жалобе Пищурова Е.В. просит об отмене судебных актов, ссылаясь на отсутствие судебного акта о взыскании процентов и неустоек до исполнения и неосновательное неуменьшение неустоек.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по доводам кассационной жалобы не усматривается. Включение в реестр процентов и неустоек, начисляемых на взысканную по решению суда задолженность до фактического ее погашения, основано на договоре и законе. Заявление об уменьшении неустоек рассмотрено судами согласно компетенции, применение которой не пересматривается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Пищуровой Е.В.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