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02.04.2021, оставленным без изменения постановлением Восьмого арбитражного апелляционного суда от 23.06.2021 и постановлением Арбитражного суда Западно-Сибирского округа от 09.09.2021, в удовлетворении заявления отказано. В кассационной жалобе Войков В.В. просит об отмене судебных актов, ссылаясь на нарушение права преимущественной покупки.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установили, что права должника и заявителя возникают из самостоятельных договоров, предметы которых ни в момент заключения договоров, ни после их исполнения не имеют статуса общей долевой собственности этих лиц, что исключает реализацию в отношении них права преимущественной покупки.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Войкову В.В.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