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«Жилье комфорт хозяйство» (далее – Общество) обратилось в Арбитражный суд Ставропольского края с иском к индивидуальному предпринимателю Курсишу Алексею Валентиновичу (далее – Предприниматель) о взыскании 112 190 рублей 80 копеек задолженности по оплате услуг по содержанию и ремонту общего имущества многоквартирного дома (далее – МКД), коммунальных услуг и уплате взносов на капитальный ремонт с 01.10.2017 по 31.08.2020, а также 8569 рублей 53 копеек неустойки с 21.11.2017 по 05.04.2020 и 25 000 рублей судебных расходов на оплату услуг представителя. Решением Арбитражного суда Ставропольского края от 18.03.2021, оставленным без изменения постановлением Шестнадцатого арбитражного апелляционного суда от 31.05.2021 и постановлением Арбитражного суда Северо- Кавказского округа от 23.09.2021, требования удовлетворены;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Обществом не соблюден досудебный порядок урегулирования спора. По мнению Предпринимателя, судами при рассмотрении дела не проверялся расчет предъявленной к взысканию задолженности.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являлся собственником встроенного нежилого помещения площадью 135,1 кв. м, расположенного в МКД № 50 по ул. Октябрьская в г. Лермонтове. В отношении указанного МКД Общество осуществляет функции управляющей организации (протокол общего собрания собственников помещений в МКД от 14.04.2016 № 2). Собственники помещений в МКД 14.04.2016 заключили договор управления домом с Обществом, которое также является владельцем специального счета для формирования собственниками помещений в МКД фонда капитального ремонта этого дома. В связи с неисполнением Предпринимателем в период с 01.10.2017 по 31.08.2020 обязанности по оплате оказанных услуг по управлению МКД, содержанию и ремонту общего имущества, уплате взносов на капитальный ремонт,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210, 249, 290 Гражданского кодекса Российской Федерации, статьями 36, 39, 154-158, 162, 161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13.08.2006 № 491, суды удовлетворили заявленные требования, правомерно указав на обязанность Предпринимателя, как собственника, в силу закона нести расходы по содержанию общего имущества в МКД независимо от наличия у него расходов на содержание собственного помещения. 3 Доводы, приведенные заявителем, не опровергают выводов судов, направлены на переоценку установленных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Курсиша Алексея Валентиновича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