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Хакасия от 13.01.2021, оставленным без изменения постановлением Третьего арбитражного апелляционного суда от 29.04.2021, иск удовлетворен. Постановлением Арбитражного суда Восточно-Сибирского округа от 21.09.2021 решение суда первой инстанции и постановление суда апелляционной инстанции отменены, дело направлено на новое рассмотрение в Арбитражный суд Республики Хакасия. В кассационной жалобе, поданной в Верховный Суд Российской Федерации, общество, ссылаясь на незаконность постановления суда округа, просит его отменить и оставить в силе решение суда первой инстанции и постановление суда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кассационной жалобы не установлено. Отменяя судебные акты судов первой и апелляционной инстанций и направляя дело на новое рассмотрение, суд округа, не принимая судебного акта по существу спора, исходил из того, что суды неполно исследовали фактические обстоятельства, имеющие значение для разрешения спора. Обжалуемое постановление суда округа принято в пределах полномочий, предоставленных арбитражному суду округа (статьи 286, 287 Арбитражного процессуального кодекса Российской Федерации).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не имеется.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«Альтаир»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