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310-ЭС21-25255 ОПРЕДЕЛЕНИ Е г. Москва 10.01.2022 Судья Верховного Суда Российской Федерации Чучунова Н.С., изучив кассационную жалобу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26.03.2021, оставленным без изменения постановлением Девятнадцатого арбитражного апелляционного суда от 28.06.2021 и постановлением Арбитражного суда Центрального округа от 12.10.2021, иск удовлетворен. В кассационной жалобе, поданной в Верховный Суд Российской Федерации, департамент, ссылаясь на незаконность указанных судебных актов, просит их отменить и направить дело на новое рассмотрение в Арбитражный суд Липецкой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кассационной жалобы не установлено. Разрешая спор и удовлетворяя иск, суды руководствовались статьями 309, 310, 432, 435, 438, 779 Гражданского кодекса Российской Федерации, статьями 154, 155 Жилищного кодекса Российской Федерации,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домов», и исходили из подтвержденности факта ненадлежащего исполнения департаментом (собственник жилых помещений) обязанности по оплате оказанных обществом (региональный оператор) в спорный период услуг по обращению с твердыми коммунальными отходами. Изложенные в кассационной жалобе доводы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муниципального образования город Липецк в лице Департамента жилищно-коммунального хозяйства администрации города Липецка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