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10.02.2021 в третью очередь реестра включено требование Еремина А.И. в размере 7 850 000 рублей основного долга и 303 000 рублей неустойки. Одиннадцатый арбитражный апелляционный суд постановлением от 24.06.2021 отменил определение от 10.02.2021 и в удовлетворении заявления отказал. Арбитражный суд Поволжского округа постановлением от 21.09.2021 отменил постановление апелляционного суда от 24.06.2021, оставив в силе определение от 10.02.2021. В кассационной жалобе общество «УТЛ-Логистик» просит об отмене определения и постановления окружного суда, ссылаясь на неисследование финансового положения кредитора и расходования заемных денежных средств должником.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по доводам кассационной жалобы не усматривается. Суд первой инстанции признал заявленное к включению в реестр требование обоснованным в силу подтвержденности его решением суда общей юрисдикции о взыскании с должника задолженности по займу, соответствия статьям 71, 100, 137 Федерального закона от 26.10.2002 № 127-ФЗ «О несостоятельности (банкротстве)» и статьям 16, 69 Арбитражного процессуального кодекса Российской Федерации. У апелляционного суда отсутствовало основание для отмены определения, поэтому его судебный акт отменен окружным судом в пределах компетенции.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«УТЛ-Логистик»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