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16.02.2021, оставленным без изменения постановлением Четвертого арбитражного апелляционного суда от 02.06.2021, в иске отказано. Постановлением Арбитражного суда Восточно-Сибирского округа от 28.09.2021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432 , 702 , 708 , 740 , 743 , 1102 , 1107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с учетом ненадлежащего исполнения обществом своих обязательств по контракту, пришли к выводу об отсутствии оснований для удовлетворения исковых требований. Доводы жалобы были предметом исследования судов и мотивированно отклонены,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Нерассмотрение судом ходатайства о назначении экспертизы само по себе не является безусловным основанием для отмены обжалуемых судебных актов, при этом в жалобе не указано, как данное обстоятельство привело или могло привести к принятию неправильного решения по делу.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Производственно-строительная компания "Геллион" (подробнее) Ответчики: Муниципальное казенное общеобразовательное учреждение "Средняя общеобразовательная школа №10 г. Нижнеудинск" (подробнее) Судьи дела: Першутов А.Г.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