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20.12.2021 с ходатайством о восстановлении срока на обжалование. Заявитель обосновывает пропуск срок на подачу жалобы юридической дезориентацией его конторами, предлагавшими правовые услуги. В силу части 1 статьи 291.2 Арбитражного процессуального кодекса Российской Федерации кассационная жалоба подается в срок, не превышающий двух месяцев с момента вступления в силу последнего обжалуемого судебного акта, который в случае пропуска подлежит восстановлению при наличии объективных причин (часть 2 статьи 291.2). Данная жалоба подана по истечении названного срока, обозначенная причина пропуска которого не может быть отнесена к объективной и влекущей восстановление срока, поэтому не подлежит рассмотрению по существу.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Логинову Владимиру Ивановичу в восстановлении срока подачи кассационной жалобы на определение Арбитражного суда города Санкт-Петербурга и Ленинградской области от 20.01.2021, постановление Тринадцатого арбитражного апелляционного суда от 22.04.2021 и постановление Арбитражного суда Северо-Западного округа от 06.08.2021 по делу № А56-131795/2019. Возвратить кассационную жалобу Логинову Владимиру Ивановичу.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