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12.04.2021, оставленным без изменения постановлениями Пятнадцатого арбитражного апелляционного суда от 17.06.2021 и Арбитражного суда Северо-Кавказского округа от 30.09.2021, в удовлетворении заявления отказано. 2 В кассационной жалобе администрация ставит вопрос об отмене принятых по делу судебных актов, ссылаясь на существенное нарушение судами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рассмотрения жалобы Исмаилова М.О. на действия администрации по заключению договора уступки права требования (цессии) с индивидуальным предпринимателем Перовым Г.Н. (далее - предприниматель) на осуществление сноса объекта капитального строительства антимонопольным органом принято решение. Решением управления в действиях администрации признано нарушение части 5 статьи 24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Не согласившись с ненормативным правовым актом управления, администрация обратилась в арбитражный суд с заявлением о признании его недействительным. Исследовав и оценив представленные в материалы дела доказательства, руководствуясь положениями статей 382, 388 Гражданского кодекса Российской Федерации, статей 1, 8, 15, 24 Закона о контрактной системе, суды пришли к выводу о законности оспариваемого решения антимонопольного органа. Судебные инстанции исходили из того, что договор уступки права требования (цессии) заключен с предпринимателем для обеспечения государственных нужд, в связи с чем к спорным правоотношениям подлежат применению положения Закона о контрактной системе. 3 Доводы администрации относительно выводов судов не свидетельствуют о неправильном применении норм материального и процессуального права, повлиявшем на исход дела или допущенной судебной ошибке, аналогичны доводам, ранее заявлявшимся в судах, которым дана соответствующая правовая оценка.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администрации муниципального образования городской округ город-курорт Сочи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