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28.01.2021, оставленным без изменения постановлением Восьмого арбитражного апелляционного суда от 17.05.2021 и постановлением Арбитражного суда Западно-Сибирского округа от 31.08.2021, иск удовлетворен. В кассационной жалобе, поданной в Верховный Суд Российской Федерации, предприятие,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2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спор и удовлетворяя иск, суды первой и апелляционной инстанций, с которыми впоследствии согласился суд округа,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309, 310, 421, 702, 720, 753, 779, 783 Гражданского кодекса Российской Федерации, исходили из доказанности факта оказания обществом услуг по спорному договору и отсутствия доказательств их оплаты предприятием в полном объеме.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«Научно-производственное предприятие «Омэнергопром»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