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29.12.2021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23.09.2021, срок на обжалование которого истек 23.11.2021. Несвоевременную подачу жалобы заявитель обосновывает увольнением штатного юриста без осуществления передачи дел иному юристу в день увольнения.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 полным текстом последнего обжалуемого судебного акта - постановления суда округа от 23.09.2021 общество могло ознакомиться 26.09.2021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3 Кроме того, увольнение штатного юриста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уважительной причины, с наличием которой процессуальный закон связывает возможность восстановления срока на обжалование судебных актов.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«Аэросвет»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Москвы от 31.03.2021, постановление Девятого арбитражного апелляционного суда от 02.06.2021 и постановление Арбитражного суда Московского округа от 23.09.2021 по делу № А40-189801/2020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