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Курской области от 15.03.2021, оставленным без изменения постановлением Девятнадцатого арбитражного апелляционного суда от 20.05.2021 и постановлением Арбитражного суда Центрального округа от 09.09.2021, иск удовлетворен.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принять новый судебный акт об отказе в удовлетворении иска.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обществом допущено ненадлежащее исполнение обязательств, за которое спорным договором предусмотрено начисление штрафа, проверив расчет штрафа и признав его верным, руководствуясь статьями 309, 310, 329, 330, 402 Гражданского кодекса Российской Федерации, суды первой и апелляционной инстанций пришли к выводу о наличии оснований для удовлетворения иска,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обстоятельств, установленных судами, и не подтверждают существенных нарушений судами норм материального и процессуального права, повлиявших на исход дела. Учитывая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«Донремстрой-12»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