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19.04.2021, оставленным без изменения постановлением Десятого арбитражного апелляционного суда от 15.06.2021 и постановлением Арбитражного суда Московского округа от 30.09.2021, в удовлетворении исковых требований отказано. 2 В кассационной жалобе, поданной в Верховный Суд Российской Федерации, организация, ссылаясь на нарушение судами норм права, просит отменить указанные судебные акты и направить дело на новое рассмотрение в суд апелляционной инстанции для его рассмотрения по правилам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кассационных жалоб не установлено. Как следует из судебных актов, требования организации мотивированы тем, что ей от третьего лица в соответствии с соглашением об уступке перешло право получения денежных средств, причитающихся последнему в связи с его отказом от исполнения от заключенного с обществом договора купли-продажи автомобиля.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принимая во внимание вступившее в законную силу решение Савеловского районного суда г. Москвы от 07.09.2018 по делу № 2-57/18, руководствуясь статьями 8, 382, 384 Гражданского кодекса Российской Федерации, положениями Закона Российской Федерации от 07.02.1992 № 2300-1 «О защите прав потребителей», разъяснениями, изложенными в постановлении Пленума Верховного Суда Российской Федерации от 21.12.2017 № 54 «О некоторых вопросах применения положений главы 24 Гражданского кодекса Российской Федерации о перемене лиц в обязательстве на основании сделки», суды первой и апелляционной инстанции пришли к выводу об отсутствии оснований для удовлетворения исковых требований, исходя из недоказанности факта возникновения у ответчика денежного обязательства перед третьим лицом, право требования которого могло быть передано истцу на основании соглашения об уступке. Суд округа поддержал выводы судов первой и апелляционной инстанций. Доводы о нарушении судами первой и апелляционной инстанций норм процессуального права были предметом рассмотрения суда округа и получили правовую оценку. Доводы кассационной жалобы не опровергают выводы судов, не подтверждают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3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региональной общественной организации инвалидов «Отрада»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