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10.02.2021, оставленным без изменения постановлением Девятого арбитражного апелляционного суда от 12.05.2021 и постановлением Арбитражного суда Московского округа от 16.09.2021, в удовлетворении исковых требований отказано. 2 В жалобе общество ссылается на нарушение судами норм материального и процессуального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15, 16, 1064, 1069 – 1071 Гражданского кодекса Российской Федерации, статей 16.2, 24.5 Кодекса Российской Федерации об административных правонарушениях, статей 119, 122, 310, 352 Таможенного кодекса Евразийского экономического союза, суды пришли к выводу о необоснованности заявленных исковых требований о взыскании расходов за сверхнормативное хранение товара в транспортных средствах, поскольку в рассматриваемом случае их несение связано с обеспечением соблюдения таможенного законодательства. Приведенные в жалобе доводы сводятся к изложению обстоятельств дела, которые получили надлежащую правовую оценку судов и мотивированно отклонены, не опровергают выводы судов, не подтверждают существенных нарушений судами норм материального и (или) процессуального права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Учитывая изложенное и руководствуясь статьями 2911, 2916 и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