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26.03.2021 иск удовлетворен частично, с учреждения в пользу фонда взысканы 701 545 рублей 35 копеек средств обязательного медицинского страхования, использованных не по целевому назначению, 70 154 рубля 54 копейки штрафа, 5 156 рублей 36 копеек пеней за период с 14.07.2020 по 31.08.2020, а также пени с 01.09.2020, исходя из расчета 1/300 ставки рефинансирования Центрального банка Российской Федерации, действующей на день предъявления санкций, от суммы задолженности за каждый день просрочки. В удовлетворении остальной части иска отказано. Постановлением Первого арбитражного апелляционного суда от 28.06.2021 решение суда оставлено без изменения. Постановлением Арбитражного суда Волго-Вятского округа от 19.10.2021 судебные акты судов первой и апелляционной инстанций оставлены без изменения. В кассационной жалобе, поступившей в Верховный Суд Российской Федерации, учреждение просит отменить указанные судебные акты в части удовлетворенных исковых требований, считая их принятыми с нарушением норм материального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3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Руководствуясь положениями Гражданского кодекса Российской Федерации, Федерального закона от 29.11.2010 № 326-ФЗ «Об обязательном медицинском страховании в Российской Федерации», Федерального закона от 21.11.2011 № 323-ФЗ «Об основах охраны здоровья граждан», Приказа Министерства труда Российской Федерации от 22.10.2013 № 571н «Об утверждении профессионального стандарта «Специалист по социальной работе», Приказа Министерства здравоохранения Российской Федерации от 20.12.2012 № 1183н «Об утверждении Номенклатуры должностей медицинских работников и фармацевтических работников», Правил обязательного медицинского страхования, утвержденных приказом Министерства здравоохранения и социального развития Российской Федерации от 28.02.2011 № 158н, суды частично удовлетворяя требования, признали доказанным факт использования денежных средств обязательного медицинского страхования не по целевому назначению в части оплаты труда социального работника, поскольку деятельность социального работника не является медицинской помощью. Обжалуя судебные акты в Верховный Суд Российской Федерации, заявитель жалобы приводит доводы, которые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4 При указанных обстоятельствах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