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января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Брянской области от 25.08.2020, оставленным без изменения постановлением Двадцатого арбитражного апелляционного суда от 30.04.2021 и постановлением Арбитражного суда Центрального округа от 03.09.2021, исковые требования удовлетворены. В кассационной жалобе, поданной в Верховный Суд Российской Федерации, общество, ссылаясь на нарушение судами норм материального и процессуального права, просит отменить указанные судебные акты и принять новый судебный акт об отказе в удовлетворении исковых требований. По смыслу части 1 статьи 291.1, части 7 статьи 291.6, статьи 291.11 Арбитражного процессуального кодекса Российской Федерации кассационная 2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таких оснований по результатам изучения состоявшихся по делу судебных актов и доводов кассационной жалобы не установлено. Исследовав и оценив по правилам статьи 71 Арбитражного процессуального кодекса Российской Федерации представленные в материалы дела доказательства, установив, что на момент заключения договора поручительства объем ответственности компании как поручителя определен не был; подпись в названном договоре от имени компании выполнена не его генеральным директором, а иным лицом, при этом доказательств того, что на совершение сделки от имени компании было уполномочено иное лицо, равно как и доказательств последующего одобрения сделки не представлено, руководствуясь статьями 53, 183, 361, 432 Гражданского кодекса Российской Федерации, суды первой и апелляционной инстанций пришли к выводу о том, что спорный договор является незаключенным, в связи с чем удовлетворили исковые требования. При этом суды отклонили заявление общества о пропуске компанией срока исковой давности, указав, что иск заявлен в пределах установленного срока давности. Суд округа поддержал выводы судов первой и апелляционной инстанций. Доводы кассационной жалобы не опровергают выводы судов, не подтверждают существенных нарушений судами норм материального и процессуального права, повлиявших на исход дела, и не являются достаточным основанием для пересмотра обжалуемых судебных актов в кассационном порядке. По существу они направлены на переоценку установленных фактических обстоятельств, что не входит в полномочия суда при кассационном производстве.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общества с ограниченной ответственностью «Алкогольная Сибирская группа»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 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