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17.09.2021, оставленным без изменения постановлением Восемнадцатого арбитражного апелляционного суда от 29.09.2021, дело передано в Челябинский областной 2 суд для направления его в суд общей юрисдикции, к подсудности которого оно отнесено законом. Постановлением Арбитражного суда Уральского округа от 22.10.2021 указанные судебные акты оставлены без изменения. Гредасов А.С.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процессуального права. Исходя из доводов жалобы и принятых по делу судебных актов оснований для удовлетворения жалобы не установлено. Суды признали, что оспариваемое постановление о привлечении к административной ответственности, вынесено в отношении Гредасова А.С. как физического лица, являющегося собственником спорного земельного участка, а не в отношении индивидуального предпринимателя Гредасова А.С. При этом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В отсутствие сведений о том, что суд общей юрисдикции отказался рассматривать указанный спор из-за отсутствия у него компетенции, у заявителя имеется возможность реализовать гарантированное статьей 46 Конституции Российской Федерации право на судебную защиту.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порядке. 3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