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29.12.2021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15.09.2021, срок на обжалование которого истек 15.11.2021. Несвоевременную подачу жалобы заявитель обосновывает увольнением штатного юриста без осуществления передачи дел иному юристу в день увольнения.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 полным текстом последнего обжалуемого судебного акта - постановления суда округа от 15.09.2021 общество могло ознакомиться 16.09.2021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3 Кроме того, увольнение штатного юриста относится к внутренним организационным вопросам заявителя и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уважительной причины, с наличием которой процессуальный закон связывает возможность восстановления срока на обжалование судебных актов.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«Аэросвет»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Москвы от 19.03.2021, постановление Девятого арбитражного апелляционного суда от 27.05.2021 и постановление Арбитражного суда Московского округа от 15.09.2021 по делу № А40-189940/2020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