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06.04.2021, оставленным без изменения постановлениями Двадцать первого арбитражного апелляционного суда от 23.06.2021 и Арбитражного суда Центрального округа от 17.09.2021, в удовлетворении иска отказано. В кассационной жалобе, поданной в Верховный Суд Российской Федерации, предприятие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(заказчик) и обществом (поставщик) заключен договор на поставку расходных материалов, прочих материалов (картриджей к струйным цветным, лазерным монохромным, лазерным цветным, матричным, термотрансферным принтерам и факсимильным аппаратам). Ссылаясь на просрочку поставки товара, частичную оплату поставщиком штрафных санкций, заказчик обратился в арбитражный суд. Оценив представленные в материалы дела доказательства, суды, руководствуясь положениями статей 309, 310, 329, 330, 469, 470, 506 Гражданского кодекса Российской Федерации, пришли к выводу об отсутствии оснований для удовлетворения иска. Судебные инстанции исходили из того, что гражданско-правовая ответственность в виде начисления штрафных санкций предусмотрена договором в случае составления отрицательного заключения, то есть при наличии оснований, препятствующих приемке поставленного товара, при этом в случае составления экспертного заключения с предложением об устранении нарушений с указанием срока их устранения начисление штрафов и пени договором не предусмотрено. При исследовании обстоятельств дела установлено, что заказчиком не составлялось отрицательное заключение, мотивированный отказ от подписания товарной накладной в адрес общества не направлялся. Доводы, изложенные в кассационной жалобе, повторяют позицию предприятия по спору,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3 подтверждают существенных нарушений судами норм материального права и норм процессуального права, выражают несогласие с выводами судов по фактическим обстоятельствам дела,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«Государственная корпорация по организации воздушного движения в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