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повторного рассмотрения дела решением Суда по интеллектуальным правам от 08.06.2021 требования общества удовлетворены частично: оспариваемое решение об отказе в возбуждении дела о нарушении антимонопольного законодательства в части правонарушений, запрет на которые установлен статьями 14.6, 14.8 Федерального закона от 26.07.2006 2 № 135-ФЗ «О защите конкуренции» (далее – Закон о защите конкуренции), признано недействительным как противоречащее положениям статьи 39 Закона о защите конкуренции; суд обязал антимонопольный орган рассмотреть заявление общества с учетом принятого судом решения. В удовлетворении остальной части заявленных требований отказано. Постановлением президиума Суда по интеллектуальным правам от 13.09.2021 решение суда отменено с принятием нового судебного акта, заявленное требование оставлено без удовлетворения. В кассационной жалобе ООО «ДомБытХим» ставит вопрос об отмене принятого президиумом Суда по интеллектуальным правам постановления, ссылаясь на нарушение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рассмотрения заявления ООО «ДомБытХим» о нарушении третьим лицом антимонопольного законодательства (а именно положений статьи 14.6 Закона о защите конкуренции), выразившегося в недобросовестной конкуренции, связанной с использованием в названии производимого товара (моющих средств) обозначения, сходного до степени смешения с товарным знаком, правообладателем которого является общество, ФАС России принято оспариваемое решение. 3 Отказ антимонопольного органа мотивирован отсутствием оснований для квалификации действий третьего лица как недобросовестного использования комбинированного товарного знака. Не согласившись с выводами ФАС России, заявитель обратился в суд с соответствующим заявлением. При рассмотрении спора суды руководствовались положениями Закона о защите конкуренции, исследовав и оценив обстоятельства дела и представленные доказательства в их совокупности и взаимосвязи. Признавая оспариваемое решение ФАС России соответствующим законодательству о защите конкуренции, президиум Суда по интеллектуальным правам согласился с выводом антимонопольного органа о том, что заявление общества не содержит указания на наличие в действиях завода всех признаков недобросовестной конкуренции, которые являются основанием для возбуждения дела о нарушении антимонопольного законодательства. Доводы жалобы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«ДомБытХим»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