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состояние. К ходатайству приложены сведения о банковских счетах заявителя в кредитных организациях и справки кредитных организаций о состоянии расчетных счетов. Содержание данных документов свидетельствует о невозможности исполнения обязанности по уплате государственной пошлины за рассмотрение кассационной жалобы.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 , 184 , 291.3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«ГарантСтрой» отсрочку уплаты государственной пошлины до окончания производства по кассационной жалобе. Судья Верховного Суда Российской Федерации А.Г. Першутов Суд: Верховный Суд РФ (подробнее) Истцы: ООО "ГарантСтрой" (подробнее) Ответчики: Бюджетное учреждение Ханты-Мансийского автономного округа - Югры "Дирекция по эксплуатации служебных зданий"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