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19.04.2021, оставленным без изменения постановлением Девятого арбитражного апелляционного суда от 25.06.2021, в удовлетворении требования отказано. Постановлением Арбитражного суда Московского округа от 08.09.2021 указанные судебные акты оставлены без изменения. В кассационной жалобе, поступившей в Верховный Суд Российской Федерации, общество просит отменить состоявшиеся по делу судебные акты, считая их незаконными и необоснованными.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изложенные в жалобе доводы,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Как следует из судебных актов, основанием для привлечения к ответственности послужили выводы административного органа о невыполнении обществом в установленный срок обязанности по получению на свои банковские счета в уполномоченном банке иностранной валюты за выполненные для нерезидента работы по внешнеторговому контракту. Частью 4 статьи 15.25 Кодекса Российской Федерации об административных правонарушениях (в редакции, действовавшей в спорный момент) установлена ответственность за невыполнение резидентом в установленный срок обязанности по получению на свои банковские счета в уполномоченных банках иностранной валюты или валюты Российской Федерации, причитающихся за переданные нерезидентам товары, выполненные для нерезидентов работы, оказанные нерезидентам услуги либо за переданные нерезидентам информацию или результаты интеллектуальной деятельности, в том числе исключительные права на них, включая случаи, когда резидент не обеспечил получение причитающихся по внешнеторговому договору (контракту) иностранной валюты или валюты Российской Федерации в сроки, предусмотренные соответствующим внешнеторговым договором (контрактом), заключенным между резидентом и нерезидентом, на банковский счет финансового агента (фактора) - резидента в уполномоченном банке, если финансовый агент (фактор) - резидент не является уполномоченным банком, либо на корреспондентский счет соответствующего уполномоченного банка, если финансовый агент (фактор) - резидент является уполномоченным банком, в случае, если такому финансовому агенту (фактору) - резиденту было уступлено денежное требование иностранной валюты или валюты Российской Федерации, причитающихся резиденту в соответствии с условиями внешнеторгового договора (контракта) за переданные нерезиденту товары, выполненные для него работы, оказанные ему услуги либо за переданные ему информацию или результаты интеллектуальной деятельности, в том числе исключительные права на них, либо невыполнение резидентом в установленный срок обязанности по получению на свои банковские счета в уполномоченных банках иностранной валюты или валюты Российской Федерации, причитающихся от нерезидента в соответствии с условиями договора займа. Оценив представленные доказательства, руководствуясь положениями статьи 19 Федерального закона от 10.12.2003 № 173-ФЗ «О валютном регулировании и валютном контроле», суды пришли к выводу о наличии в действиях общества состава правонарушения, ответственность за которое установлена частью 4 статьи 15.25 Кодекса Российской Федерации об административных правонарушениях, признав, что спорные расчеты являются предметом регулирования законодательства о валютном контроле. Суды исходили из того, что представленные доказательства не подтверждают принятие обществом всех необходимых, разумных и достаточных мер для получения выручки по заключенному с нерезидентом договору в целях соблюдения правил и норм, за нарушение которых предусмотрена административная ответственность. Приведенные в жалобе доводы являлись предметом проверки судов и обоснованно отклонены по мотивам, подробно изложенным в соответствующих судебных актах. Несогласие заявителя с толкованием судебными инстанциями норм законодательства, с установленными судами фактическими обстоятельствами дела и оценкой доказательств в силу статьи 291.6 Арбитражного процессуального кодекса Российской Федерации не является основанием для пересмотра обжалуемых судебных актов в кассационном порядке.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ФИРМА "СТРОИТЕЛЬСТВО ОБЪЕКТОВ ПРОМЫШЛЕННОСТИ И ГОРОДА" (подробнее) Ответчики: ИФНС №23 по г. Москве (подробнее) Управление Федеральной налоговой службы по г. Москве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