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19.03.2021, оставленным без изменения постановлениями Девятого арбитражного апелляционного суда от 01.06.2021 и Арбитражного суда Московского округа от 22.09.2021,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выездная проверка общества в рамках осуществления постоянного государственного надзора. По результатам проверки управлением выдано предписание об устранении нарушений законодательства о промышленной безопасности опасных производственных объектов. Не согласившись с выводами управления о фактах допущенных нарушений, указанных в пунктах 19, 20, 21, 22, 34, 35, 36, 37, 38, 39, 40, 41, 42 предписания,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Федерального закона от 21.07.1997 № 116-ФЗ «О промышленной безопасности опасных производственных объектов», Техническим регламентом Таможенного Союза от 18.10.2011 № 010/2011 «О безопасности машин и оборудования», утвержденным решением Комиссии Таможенного Союза от 18.10.2011 № 823, Правилами регистрации объектов в государственном реестре опасных производственных объектов, утвержденными постановлением Правительства Российской Федерации от 24.11.1998 № 1371, Требованиями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утвержденными приказом Ростехнадзора от 25.11.2016 № 495, Федеральными нормами и правилами в области промышленной безопасности «Общие правила взрывопожароопасных химических, нефтехимических и нефтеперерабатывающих производств», утвержденными приказом Ростехнадзора от 11.03.2013 № 96, пришли к выводу о соответствии оспариваемого ненормативного правового акта действующему законодательству и отсутствии нарушения прав и законных интересов общества. Ссылка общества на иную судебную практику является несостоятельной, поскольку основана на иных фактических обстоятельствах дела, отличных от настоящего спора. Возражения общества со ссылкой на неуказание в судебных актах всех имеющихся в деле доказательств и доводов заявителя подлежат отклонению, 3 поскольку не свидетельствуют об отсутствии их надлежащей судебной проверки и оценки. Доводы, изложенные в кассационной жалобе, повторяют позицию заявителя по спору, изложенную в судах трех инстанций, являлись предметом рассмотрения судов и получили надлежащую правовую оценку. Указанные доводы не подтверждают существенных нарушений норм материального и норм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«СЛАВНЕФТЬ-ЯРОСЛАВНЕФТЕОРГСИНТЕЗ»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