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обществом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«Управляющая компания современного бизнеса» удовлетворить. Срок подачи кассационной жалобы на решение Арбитражного суда города Москвы от 02.04.2021, постановление Девятого арбитражного апелляционного суда от 28.05.2021 и постановление Арбитражного суда Московского округа от 22.10.2021 по делу № А40-100185/2020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