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07.04.2021, оставленным без изменения постановлениями Восемнадцатого арбитражного апелляционного суда от 24.06.2021 и Арбитражного суда Уральского округа от 29.09.2021,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его прав и законных интересов в результате неправильного применения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целях участия в электронном аукционе на поставку бортового камня и бетонных изделий для районов Северо-Западного административного округа города Москвы общество заключило с банком договоры гарантии, в соответствии с которыми банком выданы банковские гарантии № 9991-4R1/283666 и № 9991-ОN1/12560 в качестве обеспечения обязательств по исполнению контрактов, заключаемых по результатам аукциона. Заказчиками электронных аукционов размещены протоколы признания участника уклонившимся от заключения контракта по результатам проведения электронного аукциона в связи с тем, что предъявленные обществом банковские гарантии были признаны не соответствующими требованиям аукционной документации. Считая, что данное событие произошло вследствие неправомерных действий банка, выдавшего банковские гарантии, не соответствующие требованиям законодательства об осуществлении закупок, общество обратилось в арбитражный суд. Оценив представленные в материалы дела доказательства, суды, руководствуясь положениями статей 424 , 431 , 450 , 451 , 368 , 369 , 370 , 376 , 378 , 1102 , 1109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оснований для удовлетворения иска. При этом судебные инстанции исходили из того, что обязательства по договорам о выдаче независимой банковской гарантии и о предоставлении банком независимых (банковских) гарантий в рамках продукта «Банковская Экспресс-Гарантия» надлежащим образом выполнены банком, банковские услуги оказаны, гарантии выданы на согласованных сторонами условиях, положения договоров исключают право общества требовать возврата уплаченного вознаграждения в случае отказа бенефициара от принятия гарантии. Доводы, изложенные в кассационной жалобе, повторяют позицию заявителя по спору, изложенную в судах трех инстанций, являлись предметом рассмотрения судов и получили надлежащую правовую оценку. По существу доводы жалобы, с учетом конкретных фактических обстоятельств настоящего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«АртСтрой»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"АртСтрой" (подробнее) Ответчики: ПАО "БАНК УРАЛСИБ" (подробнее) Иные лица: ООО "ВБЦ ЛАБ" (подробнее) ООО "Финтэк"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