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27.04.2021, оставленным без изменения постановлениями Двадцатого арбитражного апелляционного суда от 13.07.2021 и Арбитражного суда Центрального округа от 07.10.2021, в удовлетворении заявления отказано. В кассационной жалобе общество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общества на действия учреждения (заказчик, организатор торгов) при проведении аукциона в электронной форме на поставку, ввод в эксплуатацию программно-аппаратных комплексов и общее комплексирование решения для учреждения здравоохранения и государственных медицинских организаций, включая их структурные подразделения (в том числе ФАП и ФП, подключенные к сети Интернет), Брянской области, выразившиеся в формировании укрупненного лота и установлении в техническом задании закупки технических характеристик товара, соответствующих продукции только одного производителя, влекущих ограничение количества участников аукциона, антимонопольным органом принято решение о признании жалобы необоснованной. Не согласившись с ненормативным правовым актом управления, общество обратилось в арбитражный суд. Исследовав и оценив представленные в материалы дела доказательства, руководствуясь положениями Федерального закона от 18.07.2011 № 223-ФЗ «О закупках товаров, работ, услуг отдельными видами юридических лиц», Федерального закона от 26.07.2006 № 135-ФЗ «О защите конкуренции», суды пришли к выводу о соответствии оспариваемого решения антимонопольного органа действующему законодательству и отсутствии нарушения прав и законных интересов общества. Судебные инстанции исходили из того, что включение в документацию о закупке спорных требований к качеству, техническим характеристикам товара, соответствующим потребностям заказчика, не может рассматриваться как ограничение доступа к участию в торгах. При исследовании обстоятельств дела установлено, что заказчиком при закупке программно-аппаратного комплекса в техническом задании указано требование – система управления ПОИ-iLO (Integrated LightsOut); система управления на платформе iLo выпускается как минимум двумя производителями; механизм «iLO» не является товарным знаком. Кром того, суды отметили, что укрупнение лота обусловлено функционированием на территории Брянской области одной единой системы программно-аппаратных комплексов, в связи с чем в закупке объединены товары, работы, услуги, функционально и технологически связанные между собой. Доводы, изложенные в кассационной жалобе, повторяют позицию общества по спору, не опровергают выводы судов, сделанные на основании правильного применения норм права к установленным обстоятельствам дела, не свидетельствуют о допущенной при рассмотрении дела судебной ошибке,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«АльтА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 АльтА плюс " (подробнее) Ответчики: Управление федеральной антимонопольной службы по Брянской области (подробнее) Иные лица: ООО "Хьюлет Паккард Энтерпрайз"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