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агентство обратилось в суд с заявлением о пересмотре постановления Седьмого арбитражного апелляционного суда от 22.10.2019 об отказе агентству в удовлетворении заявления о включении в реестр требований кредиторов должника по вновь открывшимся обстоятельствам. Определением Седьмого арбитражного апелляционного суда от 02.04.2021, оставленным без изменения постановлением Арбитражного суда Западно-Сибирского округа от 14.09.2021,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его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апелляционной инстанции и округа руководствовались статьями 309-312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отвечали признакам новых или вновь открывшихся обстоятельств, способных повлиять на выводы суда при принятии указанного к пересмотру судебного акта.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«Коллекторское агентство «Брокер – Консалт»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