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Шонуров Л.Н. обратился в суд с заявлением о признании обоснованным и включении в реестр требований кредиторов должника (далее – реестр) его требования в размере 5 852 384 рубля. Во встречном заявлении, объединённым с вышеуказанным заявлением в одно производство для совместного рассмотрения, конкурсный управляющий должником Чебыкин Валерий Леонидович (далее – конкурсный управляющий) просил признать недействительным заключенное между должником и Шонуровым Л.Н. соглашение от 07.03.2017; применить последствия недействительности сделки - взыскать с Шонурова Л.Н. в пользу должника 62 483 694 рубля 92 копейки и поименованные в заявлении объекты недвижимости (два земельных участка и здание гаража). Определением Арбитражного суда Вологодской области от 22.02.2019 в удовлетворении заявления конкурсного управляющего отказано, требование Шонурова Л.Н. включено в реестр. Постановлением Четырнадцатого арбитражного апелляционного суда от 29.08.2019 данное определение отменено в части признания обоснованным требования Шонурова Л.Н., в отменённой части принят новый судебный акт об 2 отказе в удовлетворении его заявления. В остальной части определение от 22.02.2019 оставлено без изменения. Постановлением Арбитражного суда Северо-Западного округа от 24.12.2019 вышеуказанные судебные акты отменены, дело направлено на новое рассмотрение в суд первой инстанции. При новом рассмотрении определением Арбитражного суда Волгоградской области от 19.02.2021, оставленным без изменения постановлениями Четырнадцатого арбитражного апелляционного суда от 15.06.2021 и Арбитражного суда Северо-Западного округа от 14.09.2021, удовлетворено заявление конкурсного управляющего, в удовлетворении заявления Шонурова Л.Н. отказано. В кассационной жалобе, поданной в Верховный Суд Российской Федерации, заявитель просит отменить принятые на новом рассмотрении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61.2, статьями 71, 142 Федерального закона от 26.10.2002 № 127-ФЗ «О несостоятельности (банкротстве)», исходили из того, что изъятие заявителем объектов недвижимости у фактически оплатившего их должника, лишившегося в результате этого возможности завершить строительство ранее возводимых объектов и реализовать их, причинило имущественный вред кредиторам, в связи с чем пришли к правильным выводам об обоснованности требований конкурсного управляющего и отсутствии оснований для включения в реестр требования заявителя к должнику, не имеющего перед ним неисполненного обязательства.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Шонурову Леониду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