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27.01.2021 с общества в пользу компании взыскано 35 019 705 руб. 01 коп. долга, 3 430 525 руб. 06 коп. процентов за пользование чужими денежными средствами, проценты, начисляемые на сумму долга с 30.08.2019 по дату фактической оплаты денежных средств, в удовлетворении остальной части требований отказано. Постановлением Девятого арбитражного апелляционного суда от 19.07.2021, оставленным без изменения постановлением Арбитражного суда Московского округа от 28.10.2021, решение суда первой инстанции отменено, с общества в пользу компании взыскано 108 784 861 руб. 30 коп. долга, 2 7 333 091 руб. 77 коп. процентов за пользование чужими денежными средствами, в удовлетворении остальной части требований отказано. Не согласившись с указанными судебными актами, общество обратилось в Верховный Суд Российской Федерации с кассационной жалобой. Впоследствии от общества поступило ходатайство о приостановлении исполнения обжалуемых судебных актов. Письмом от 30.12.2021 дело истребовано из Арбитражного суда города Москвы.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 при условии, что заявитель обосновал невозможность или затруднительность поворота исполнения судебных актов. Рассмотрев ходатайство общества, судья Верховного Суда Российской Федерации считает, что имеются предусмотренные частью 3 статьи 291.6 Арбитражного процессуального кодекса Российской Федерации основания для приостановления исполнения принятых по делу судебных актов до окончания производства в суде кассационной инстанции, поскольку настоящее дело истребовано из арбитражного суда, приведенные обществом доводы подтверждают затруднительность поворота исполнения судебных актов в случае их отмены. Руководствуясь статьями 184,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акционерного общества «Моспромстрой» удовлетворить. Приостановить исполнение постановления Девятого арбитражного апелляционного суда от 19.07.2021 и постановления Арбитражного суда Московского округа от 28.10.2021 по делу № А40-249795/2019 до окончания производства в кассационной инстанции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