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внесению принадлежащего должнику имущества в уставной капитал обществ с ограниченной ответственностью «БКС ПРОМСЕРВИС», «Технологии строительства СОФЖИ» и «Виндзор»; применении последствий недействительности сделок. Определением Арбитражного суда Самарской области от 12.12.2018 в удовлетворении заявления отказано. Постановлением Одиннадцатого арбитражного апелляционного суда от 05.04.2019 вышеуказанное определение отменено, заявление удовлетворено. Постановлением Арбитражного суда Поволжского округа от 02.07.2019 отменено постановление апелляционного суда от 05.04.2019, определение суда первой инстанции оставлено в силе. Определением Верховного суда Российской Федерации от 06.02.2020 № 306-ЭС19-19734 отменены определение суда первой инстанции от 12.12.2018, постановления апелляционного суда от 05.04.2019 и суда округа от 02.07.2019, обособленный спор направлен на новое рассмотрение в Арбитражный суд Самарской области. 2 При новом рассмотрении определением Арбитражного суда города Санкт- Петербурга и Ленинградской области от 11.06.2021, оставленным без изменения постановлениями Тринадцатого арбитражного апелляционного суда от 10.09.2021 и Арбитражного суда Северо-Западного округа от 15.11.2021, заявление удовлетворено частично. Не согласившись с названными судебными актами, заявитель обратился в Верховный Суд Российской Федерации с кассационной жалобой, ходатайствуя о приостановлении исполнения обжалуемого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Обжалуемое заявителем постановление от 10.09.2021 об оставлении без изменения определения суда первой инстанции от 11.06.2021 не предусматривает совершение каких-либо действий по исполнению, следовательно, ввиду отсутствия предмета приостановления оснований для удовлетворения настоящего ходатайства не имеется.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«Технологии строительства СОФЖИ» о приостановлении исполнения постановления Одиннадцатого арбитражного апелляционного суда от 10.09.2021 по делу № А55-505/2016 Арбитражного суда Самарской области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