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20.04.2021, оставленным без изменения постановлением Девятого арбитражного апелляционного суда от 07.07.2021, в удовлетворении исковых требований отказано. Постановлением Арбитражного суда Московского округа от 26.10.2021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 исследовали все обстоятельства, имеющие существенное значение для правильного разрешения спора, и не дали оценку заявленным сторонами доводам и возражениям.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«СВЯЗЬЭНЕРГОМОНТАЖ МО»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