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Камчатского края от 04.03.2021, оставленным без изменения постановлением Пятого арбитражного апелляционного суда от 26.05.2021 и постановлением Арбитражного суда Дальневосточного округа от 03.09.2021, в удовлетворении заявления отказано. В кассационной жалобе общество просит об отмене судебных актов, ссылаясь на игнорирование фактической аффилированности финансового управляющего и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требования общества к должнику признаны необоснованными, следовательно, инициирование им отстранения финансового управляющего от исполнения обязанностей неправомерно и противоречит исследованной судами позиции других кредиторов должника.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«Инновации в строительстве»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