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12.03.2021, оставленным без изменения постановлением Девятого арбитражного апелляционного суда от 22.06.2021, в удовлетворении требований отказано. Постановлением Арбитражного суда Московского округа от 16.09.2021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статей 78 , 79 Налогового кодекса Российской Федерации, статей 196 , 200 Гражданского кодекса Российской Федерации, суды в удовлетворении требований отказали, признав, что предпринимателем пропущен срок исковой давности для обращения в суд с соответствующим требованием. Обжалуя судебные акты в Верховный Суд Российской Федерации, предприниматель приводит доводы, которые являлись предметом исследования судов и получили исчерпывающую правовую оценку с учетом установленных обстоятельств, связанных с определением момента, когда предприниматель узнал о нарушении своего права. Иных доводов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ГУ Главное Управление ПФР №8 по г. Москве и Московской области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