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06.04.2021, оставленным без изменения постановлением Девятого арбитражного апелляционного суда от 16.06.2021 и постановлением Арбитражного суда Московского округа от 07.09.2021, признан недействительным договор дарения земельных участков с жилым строением от 06.03.2006, заключенный Антоновым В.А. с Ямпольской О.В., недвижимое имущество возвращено в конкурсную массу должника. В кассационной жалобе банк просит об отмене судебных актов, ссылаясь на непривлечение его как залогодержателя к участию в деле, отсутствие правовых оснований для признания договора недействительным, принятие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дарения от 06.03.2006 и, установив фактическое невывбытие имущества из владения должника, в силу статьи 170 Гражданского кодекса Российской Федерации признали договор мнимым. Довод банка о недопустимом в силу пункта 5 статьи 166 Гражданского кодекса Российской Федерации принятии в качестве доказательства объяснения одаряемой неоснователен, учитывая предъявление иска не ею и в интересах сторонних лиц (кредиторов дарителя). Защите прав банка как залогодержателя признание дарения недействительным не препятствует, осуществляется она не в пределах рассматриваемого спора, поэтому неучастие в нем банка не влияет на реализацию им прав.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АО банк CHOPAC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