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«Возрождение» (далее – общество) обратилось в суд с заявлением о включении в третью очередь реестра требований кредиторов должника (далее – реестр) 400 000 рублей. Определением Арбитражного суда Московской области от 02.12.2020 заявление удовлетворено. Постановлением Десятого арбитражного апелляционного суда от 26.05.2021 данное определение отменено, в удовлетворении требований отказано. Постановлением Арбитражного суда Московского округа от 05.10.2021 отменено постановление апелляционного суда от 26.05.2021, определение суда первой инстанции от 02.12.2020 оставлено в силе. В кассационной жалобе, поданной в Верховный Суд Российской Федерации, заявитель просит отменить определение суда первой инстанции и постановление суда округа, постановление апелляционного суда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первой инстанции и округа, руководствуясь статьями 71,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того, что требование подтверждено документально, основано на частично оплаченной должником сделке и подлежит включению в третью очередь реестра. Выводы судов первой инстанции и округа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«РН Моторс»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АССОЦИАЦИЯ АРБИТРАЖНЫХ УПРАВЛЯЮЩИХ "ЦЕНТР ФИНАНСОВОГО ОЗДОРОВЛЕНИЯ ПРЕДПРИЯТИЙ АГРОПРОМЫШЛЕННОГО КОМПЛЕКСА" (подробнее) МРИФНС №13 по Московской области (подробнее) ОБЩЕСТВО С ОГРАНИЧЕННОЙ ОТВЕТСТВЕННОСТЬЮ "СУДИНВЕСТОР" (подробнее) ООО "Возрождение" (подробнее) ООО "РН-Моторс" (подробнее) ООО "Узмашэкспорт" (подробнее) Тарарыкин Никита (подробнее) Ответчики: ООО "МаркоПромт"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