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29.04.2021, оставленным без изменения постановлением Двадцать первого арбитражного апелляционного суда от 30.06.2021, заявленные требования удовлетворены. 2 Постановлением Арбитражного суда Центрального округа от 11.10.2021 указанные судебные акты отменены, дело направлено на новое рассмотрение в арбитражный суд первой инстанции. Учреждение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определения статуса учреждения в целях признания его субъектом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