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03.03.2021 заявленные требования удовлетворены. Постановлением Четвертого арбитражного апелляционного суда от 23.07.2021 решение суда первой инстанции отменено, в удовлетворении требований отказано. Постановлением Арбитражного суда Восточно-Сибирского округа от 27.09.2021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Судами установлено, что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и освобождения от административной ответственности, суды не усмотрели. При вынесении оспариваемого постановления принцип однократности привлечения к административной ответственности не нарушен. Поскольку ответственность лица в рассматриваемом случае зависит от суммы незаконной операции, как вынесение двух постановлений о назначении административного наказания по результатам одной проверки нарушило права и законные интересы общества (повлияло на размер ответственности), в жалобе не указано. При этом наказание назначено ниже низшего размера санкции нормы. Выводы судов не противоречат правовой позиции, изложенной в постановлении Президиума Высшего Арбитражного Суда Российской Федерации от 30.07.2012 № 2079/12.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ЗОЛОТОДОБЫВАЮЩАЯ КОМПАНИЯ ХУАНЬЦЮ (подробнее) Ответчики: Межрайонная инспекция ФНС №2 по г.Чите (подробнее) Иные лица: Арбитражный суд Забайкальского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