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08.02.2021, оставленным без изменения постановлением Девятого арбитражного апелляционного суда от 28.04.2021 и постановлением Арбитражного суда Московского округа от 31.08.2021, в удовлетворении иска отказано.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действия сторон по его исполнению, не установив оснований для привлечения ответчика к ответственности в виде неустойки и штрафа, руководствуясь статьями 307, 309, 310, 329, 330, 702, 708 Гражданского кодекса Российской Федерации, суды первой и апелляционной инстанций отказали в удовлетворении иска, с чем впоследствии согласился суд округа. Выводы судов подробно мотивированы в обжалуемых судебных актах.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автономного учреждения «25 Государственный научно-исследовательский институт химмотологии Министерства обороны Российской Федерации»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