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Лушин Дмитрий Михайлович обратился в суд с заявлением о признании недействительными сделками перечислений должником денежных средств в пользу общества в общем размере 45 322 000 рублей; применении последствий их недействительности. Определением Арбитражного суда Тульской области от 03.07.2018, оставленным без изменения постановлениями Двадцатого арбитражного апелляционного суда от 24.03.2021 и Арбитражного суда Центрального округа от 07.09.2021,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02.12.2021 от конкурсного управляющего должником Лушина Д.М. поступил отзыв на кассационную жалобу заявителя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Разрешая спор, суды, руководствуясь статьями 2, 19, пунктом 2 статьи 61.2, пунктом 3 статьи 61.3, пунктом 2 статьи 61.4 Федерального закона от 26.10.2002 № 127-ФЗ «О несостоятельности (банкротстве)», исходили из исходили из доказанности конкурсным управляющим совокупности условий для признания недействительными оспариваемых платежей, совершённых неплатёжеспособным должником в пользу заинтересованного лица за пределами обычной хозяйственной деятельности, повлекших за собой причинение вреда имущественным правам кредиторов и оказание обществу предпочтения перед иными внешними кредиторами.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«МСК Групп»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